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21" w:rsidRDefault="00445F1E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30 мая 2019 года</w:t>
      </w:r>
      <w:r>
        <w:br/>
      </w:r>
      <w:r>
        <w:rPr>
          <w:rStyle w:val="fontBold14ptc"/>
        </w:rPr>
        <w:t>№ 70</w:t>
      </w:r>
    </w:p>
    <w:p w:rsidR="00556021" w:rsidRDefault="00556021"/>
    <w:p w:rsidR="00556021" w:rsidRDefault="00445F1E">
      <w:pPr>
        <w:pStyle w:val="parStyleLeft"/>
      </w:pPr>
      <w:r>
        <w:rPr>
          <w:rStyle w:val="fontNormal14ptc"/>
        </w:rPr>
        <w:t>Место проведения: .</w:t>
      </w:r>
      <w:r>
        <w:br/>
      </w:r>
      <w:r>
        <w:rPr>
          <w:rStyle w:val="fontNormal14ptc"/>
        </w:rPr>
        <w:t>Время проведения: 00:00</w:t>
      </w:r>
    </w:p>
    <w:p w:rsidR="00556021" w:rsidRDefault="00556021"/>
    <w:p w:rsidR="00556021" w:rsidRDefault="00556021"/>
    <w:p w:rsidR="00556021" w:rsidRDefault="00445F1E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709474-7</w:t>
        </w:r>
      </w:hyperlink>
      <w:r>
        <w:rPr>
          <w:rStyle w:val="fontNormal14ptc"/>
        </w:rPr>
        <w:t xml:space="preserve"> "О внесении изменений в Федеральный закон "О правовом положении иностранных граждан в Российской Федерации" и отдельные законодательные акты Российской Федерации в части упрощения порядка предост</w:t>
      </w:r>
      <w:r>
        <w:rPr>
          <w:rStyle w:val="fontNormal14ptc"/>
        </w:rPr>
        <w:t xml:space="preserve">авления некоторым категориям иностранных граждан и лиц без гражданства разрешения на временное проживание и вида на жительство". Внесен Правительством Российской Федерации 15.05.2019 </w:t>
      </w:r>
    </w:p>
    <w:p w:rsidR="00556021" w:rsidRDefault="00445F1E">
      <w:r>
        <w:rPr>
          <w:rStyle w:val="fontNormal14ptc"/>
        </w:rPr>
        <w:t>(первое чтение)</w:t>
      </w:r>
    </w:p>
    <w:p w:rsidR="00556021" w:rsidRDefault="00445F1E">
      <w:r>
        <w:rPr>
          <w:rStyle w:val="fontNormal14ptc"/>
        </w:rPr>
        <w:t>(ответственный: Комитет Государственной Думы по развитию</w:t>
      </w:r>
      <w:r>
        <w:rPr>
          <w:rStyle w:val="fontNormal14ptc"/>
        </w:rPr>
        <w:t xml:space="preserve"> гражданского общества, вопросам общественных и религиозных объединений) </w:t>
      </w:r>
    </w:p>
    <w:p w:rsidR="00556021" w:rsidRDefault="00556021"/>
    <w:p w:rsidR="00556021" w:rsidRDefault="00556021"/>
    <w:p w:rsidR="00556021" w:rsidRDefault="00556021"/>
    <w:p w:rsidR="00556021" w:rsidRDefault="00556021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556021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556021" w:rsidRDefault="00445F1E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56021" w:rsidRDefault="00445F1E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445F1E" w:rsidRDefault="00445F1E"/>
    <w:sectPr w:rsidR="00445F1E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21"/>
    <w:rsid w:val="00445F1E"/>
    <w:rsid w:val="00556021"/>
    <w:rsid w:val="00BA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709474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2019-05-30T14:15:00Z</dcterms:created>
  <dcterms:modified xsi:type="dcterms:W3CDTF">2019-05-30T14:15:00Z</dcterms:modified>
</cp:coreProperties>
</file>