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E1" w:rsidRDefault="009C4AB7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06 июля 2020 года</w:t>
      </w:r>
      <w:r>
        <w:br/>
      </w:r>
      <w:r>
        <w:rPr>
          <w:rStyle w:val="fontBold14ptc"/>
        </w:rPr>
        <w:t>№ 100</w:t>
      </w:r>
    </w:p>
    <w:p w:rsidR="00E215E1" w:rsidRDefault="00E215E1"/>
    <w:p w:rsidR="00E215E1" w:rsidRDefault="009C4AB7">
      <w:pPr>
        <w:pStyle w:val="parStyleLeft"/>
      </w:pPr>
      <w:r>
        <w:rPr>
          <w:rStyle w:val="fontNormal14ptc"/>
        </w:rPr>
        <w:t>Место проведения: .</w:t>
      </w:r>
      <w:r>
        <w:br/>
      </w:r>
      <w:r>
        <w:rPr>
          <w:rStyle w:val="fontNormal14ptc"/>
        </w:rPr>
        <w:t>Время проведения: 00:00</w:t>
      </w:r>
    </w:p>
    <w:p w:rsidR="00E215E1" w:rsidRDefault="00E215E1"/>
    <w:p w:rsidR="00E215E1" w:rsidRDefault="00E215E1"/>
    <w:p w:rsidR="00E215E1" w:rsidRDefault="009C4AB7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974088-7</w:t>
        </w:r>
      </w:hyperlink>
      <w:r>
        <w:rPr>
          <w:rStyle w:val="fontNormal14ptc"/>
        </w:rPr>
        <w:t xml:space="preserve"> "О внесении изменений в статьи 9 и 10 Федерального закона "О противодействии экстремистской деятельности" (в части определения порядка ведения перечня общественных и религиозных объединений, иных</w:t>
      </w:r>
      <w:r>
        <w:rPr>
          <w:rStyle w:val="fontNormal14ptc"/>
        </w:rPr>
        <w:t xml:space="preserve"> организаций, деятельность которых запрещена или приостановлена в связи с осуществлением ими экстремистской деятельности). Внесен Правительством Российской Федерации 17.06.2020 </w:t>
      </w:r>
    </w:p>
    <w:p w:rsidR="00E215E1" w:rsidRDefault="009C4AB7">
      <w:r>
        <w:rPr>
          <w:rStyle w:val="fontNormal14ptc"/>
        </w:rPr>
        <w:t>(первое чтение)</w:t>
      </w:r>
    </w:p>
    <w:p w:rsidR="00E215E1" w:rsidRDefault="009C4AB7">
      <w:r>
        <w:rPr>
          <w:rStyle w:val="fontNormal14ptc"/>
        </w:rPr>
        <w:t>(ответственный: Комитет Государственной Думы по безопасности и</w:t>
      </w:r>
      <w:r>
        <w:rPr>
          <w:rStyle w:val="fontNormal14ptc"/>
        </w:rPr>
        <w:t xml:space="preserve"> противодействию коррупции) </w:t>
      </w:r>
    </w:p>
    <w:p w:rsidR="00E215E1" w:rsidRDefault="00E215E1"/>
    <w:p w:rsidR="00E215E1" w:rsidRDefault="00E215E1"/>
    <w:p w:rsidR="00E215E1" w:rsidRDefault="00E215E1"/>
    <w:p w:rsidR="00E215E1" w:rsidRDefault="00E215E1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E215E1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E215E1" w:rsidRDefault="009C4AB7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E215E1" w:rsidRDefault="009C4AB7">
            <w:pPr>
              <w:jc w:val="right"/>
            </w:pPr>
            <w:r>
              <w:rPr>
                <w:rStyle w:val="fontNormal14ptc"/>
              </w:rPr>
              <w:t>В.Г.Газзаев</w:t>
            </w:r>
          </w:p>
        </w:tc>
      </w:tr>
    </w:tbl>
    <w:p w:rsidR="009C4AB7" w:rsidRDefault="009C4AB7"/>
    <w:sectPr w:rsidR="009C4AB7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E1"/>
    <w:rsid w:val="009C4AB7"/>
    <w:rsid w:val="00BE4478"/>
    <w:rsid w:val="00E2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97408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2020-06-30T07:00:00Z</dcterms:created>
  <dcterms:modified xsi:type="dcterms:W3CDTF">2020-06-30T07:00:00Z</dcterms:modified>
</cp:coreProperties>
</file>